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77" w:rsidRDefault="00174477" w:rsidP="00174477">
      <w:pPr>
        <w:pStyle w:val="1"/>
      </w:pPr>
      <w:r>
        <w:t>(XMET) О прошедшем корпоративном действии "</w:t>
      </w:r>
      <w:bookmarkStart w:id="0" w:name="_GoBack"/>
      <w:r>
        <w:t>Внеочередное общее собрание</w:t>
      </w:r>
      <w:bookmarkEnd w:id="0"/>
      <w:r>
        <w:t>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6184"/>
      </w:tblGrid>
      <w:tr w:rsidR="00174477" w:rsidTr="001744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pPr>
              <w:wordWrap w:val="0"/>
            </w:pPr>
            <w:r>
              <w:t>866875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pPr>
              <w:wordWrap w:val="0"/>
            </w:pPr>
            <w:r>
              <w:t>XMET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pPr>
              <w:wordWrap w:val="0"/>
            </w:pPr>
            <w:r>
              <w:t>Внеочередное общее собрание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02 февраля 2024 г. 11:00 МСК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11 декабря 2023 г.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pPr>
              <w:wordWrap w:val="0"/>
            </w:pPr>
            <w:r>
              <w:t>Очная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Российская Федерация, г. Калининград, ул. Октябрьская, 6а, Отель «</w:t>
            </w:r>
            <w:proofErr w:type="spellStart"/>
            <w:r>
              <w:t>Кайз</w:t>
            </w:r>
            <w:proofErr w:type="spellEnd"/>
            <w:r>
              <w:br/>
            </w:r>
            <w:proofErr w:type="spellStart"/>
            <w:r>
              <w:t>ерхоф</w:t>
            </w:r>
            <w:proofErr w:type="spellEnd"/>
            <w:r>
              <w:t>»</w:t>
            </w:r>
          </w:p>
        </w:tc>
      </w:tr>
    </w:tbl>
    <w:p w:rsidR="00174477" w:rsidRDefault="00174477" w:rsidP="001744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237"/>
        <w:gridCol w:w="1347"/>
        <w:gridCol w:w="948"/>
        <w:gridCol w:w="1118"/>
        <w:gridCol w:w="1119"/>
        <w:gridCol w:w="1105"/>
        <w:gridCol w:w="1420"/>
      </w:tblGrid>
      <w:tr w:rsidR="00174477" w:rsidTr="00174477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74477" w:rsidTr="001744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866875X58871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АО "МРЦ"</w:t>
            </w:r>
          </w:p>
        </w:tc>
      </w:tr>
    </w:tbl>
    <w:p w:rsidR="00174477" w:rsidRDefault="00174477" w:rsidP="001744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6523"/>
        <w:gridCol w:w="1416"/>
      </w:tblGrid>
      <w:tr w:rsidR="00174477" w:rsidTr="00174477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174477" w:rsidRDefault="001744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Результаты голосования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решения:1.1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>Досрочно прекратить полномочия членов Совета директоров Компании.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3973843546</w:t>
            </w:r>
            <w:r>
              <w:br/>
              <w:t>Против: 8605559788</w:t>
            </w:r>
            <w:r>
              <w:br/>
              <w:t>Воздержался: 477324220</w:t>
            </w:r>
            <w:r>
              <w:br/>
              <w:t>Не участвовало: 613462471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Евгений Сергеевич Вавилов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Анна Геннадьевна Василенко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Людмила Петровна </w:t>
            </w:r>
            <w:proofErr w:type="spellStart"/>
            <w:r>
              <w:t>Галенская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Бернард </w:t>
            </w:r>
            <w:proofErr w:type="spellStart"/>
            <w:r>
              <w:t>Зонневельд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решения:2.5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Владимир Васильевич Колмогоров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lastRenderedPageBreak/>
              <w:t xml:space="preserve">Номер проекта </w:t>
            </w:r>
            <w:proofErr w:type="gramStart"/>
            <w:r>
              <w:t>решения:2.6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Евгений Юрьевич Курьянов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решения:2.7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Евгений Викторович Никитин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решения:2.8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Михаил Юрьевич </w:t>
            </w:r>
            <w:proofErr w:type="spellStart"/>
            <w:r>
              <w:t>Хардиков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решения:2.9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Евгений Аркадьевич Шварц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решения:2.10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</w:t>
            </w:r>
            <w:r>
              <w:lastRenderedPageBreak/>
              <w:t xml:space="preserve">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lastRenderedPageBreak/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 xml:space="preserve">Воздержался: </w:t>
            </w:r>
            <w:r>
              <w:lastRenderedPageBreak/>
              <w:t>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lastRenderedPageBreak/>
              <w:t xml:space="preserve">Номер проекта </w:t>
            </w:r>
            <w:proofErr w:type="gramStart"/>
            <w:r>
              <w:t>решения:2.11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Кевин Паркер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решения:2.12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Кристофер </w:t>
            </w:r>
            <w:proofErr w:type="spellStart"/>
            <w:r>
              <w:t>Бёрнхэм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решения:2.13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Семен Викторович Миронов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Номер проекта </w:t>
            </w:r>
            <w:proofErr w:type="gramStart"/>
            <w:r>
              <w:t>решения:2.14</w:t>
            </w:r>
            <w:proofErr w:type="gramEnd"/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174477" w:rsidRDefault="00174477">
            <w:r>
              <w:t xml:space="preserve">Избрать в Совет директоров Компании следующих лиц: 1. Евгений Сергеевич Вавилов 2. Анна Геннадьевна Василенко 3. Людмила Петровна </w:t>
            </w:r>
            <w:proofErr w:type="spellStart"/>
            <w:r>
              <w:t>Галенская</w:t>
            </w:r>
            <w:proofErr w:type="spellEnd"/>
            <w:r>
              <w:t xml:space="preserve"> 4. Бернард </w:t>
            </w:r>
            <w:proofErr w:type="spellStart"/>
            <w:r>
              <w:t>Зонневельд</w:t>
            </w:r>
            <w:proofErr w:type="spellEnd"/>
            <w:r>
              <w:t xml:space="preserve"> 5. Владимир Васильевич Колмогоров 6. Евгений Юрьевич Курьянов 7. Евгений Викторович Никитин 8. Михаил Юрьевич </w:t>
            </w:r>
            <w:proofErr w:type="spellStart"/>
            <w:r>
              <w:t>Хардиков</w:t>
            </w:r>
            <w:proofErr w:type="spellEnd"/>
            <w:r>
              <w:t xml:space="preserve"> 9. Евгений Аркадьевич Шварц 10. </w:t>
            </w:r>
            <w:proofErr w:type="spellStart"/>
            <w:r>
              <w:t>Рэндольф</w:t>
            </w:r>
            <w:proofErr w:type="spellEnd"/>
            <w:r>
              <w:t xml:space="preserve"> Н. </w:t>
            </w:r>
            <w:proofErr w:type="spellStart"/>
            <w:r>
              <w:t>Рейнольдс</w:t>
            </w:r>
            <w:proofErr w:type="spellEnd"/>
            <w:r>
              <w:t xml:space="preserve"> 11. Кевин Паркер 12. Кристофер </w:t>
            </w:r>
            <w:proofErr w:type="spellStart"/>
            <w:r>
              <w:t>Бёрнхэм</w:t>
            </w:r>
            <w:proofErr w:type="spellEnd"/>
            <w:r>
              <w:t xml:space="preserve"> 13. Семен Викторович Миронов 14. Оксана </w:t>
            </w:r>
            <w:proofErr w:type="spellStart"/>
            <w:r>
              <w:t>Буто</w:t>
            </w:r>
            <w:proofErr w:type="spellEnd"/>
            <w:r>
              <w:t xml:space="preserve"> - Оксана </w:t>
            </w:r>
            <w:proofErr w:type="spellStart"/>
            <w:r>
              <w:t>Буто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Принято: Нет</w:t>
            </w:r>
          </w:p>
        </w:tc>
      </w:tr>
      <w:tr w:rsidR="00174477" w:rsidTr="00174477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74477" w:rsidRDefault="0017447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74477" w:rsidRDefault="00174477">
            <w:r>
              <w:t>За: 0</w:t>
            </w:r>
            <w:r>
              <w:br/>
              <w:t>Против: 0</w:t>
            </w:r>
            <w:r>
              <w:br/>
              <w:t>Воздержался: 0</w:t>
            </w:r>
            <w:r>
              <w:br/>
              <w:t>Не участвовало: 0</w:t>
            </w:r>
          </w:p>
        </w:tc>
      </w:tr>
    </w:tbl>
    <w:p w:rsidR="00174477" w:rsidRDefault="00174477" w:rsidP="00174477"/>
    <w:p w:rsidR="00174477" w:rsidRDefault="00174477" w:rsidP="00174477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</w:t>
      </w:r>
      <w:proofErr w:type="gramStart"/>
      <w:r>
        <w:t>действии.*</w:t>
      </w:r>
      <w:proofErr w:type="gramEnd"/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5D366A" w:rsidRPr="00174477" w:rsidRDefault="00174477" w:rsidP="0017447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5D366A" w:rsidRPr="0017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174477"/>
    <w:rsid w:val="005D366A"/>
    <w:rsid w:val="00D17EF9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7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4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03647c1dec04243abb7db73204385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2024-02-08T10:06:00Z</dcterms:created>
  <dcterms:modified xsi:type="dcterms:W3CDTF">2024-02-08T10:06:00Z</dcterms:modified>
</cp:coreProperties>
</file>