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AD" w:rsidRDefault="001600AD" w:rsidP="001600A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1600AD" w:rsidTr="001600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pPr>
              <w:wordWrap w:val="0"/>
            </w:pPr>
            <w:r>
              <w:t>1036751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pPr>
              <w:wordWrap w:val="0"/>
            </w:pPr>
            <w:r>
              <w:t>MEET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10 июня 2025 г. 11:00 МСК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16 мая 2025 г.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pPr>
              <w:wordWrap w:val="0"/>
            </w:pPr>
            <w:r>
              <w:t>Заседание</w:t>
            </w:r>
          </w:p>
        </w:tc>
      </w:tr>
    </w:tbl>
    <w:p w:rsidR="001600AD" w:rsidRDefault="001600AD" w:rsidP="001600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1600AD" w:rsidTr="001600A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600AD" w:rsidTr="001600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600AD" w:rsidRDefault="001600AD">
            <w:pPr>
              <w:rPr>
                <w:sz w:val="20"/>
                <w:szCs w:val="20"/>
              </w:rPr>
            </w:pP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1036751X76285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1600AD" w:rsidRDefault="001600AD">
            <w:pPr>
              <w:rPr>
                <w:sz w:val="20"/>
                <w:szCs w:val="20"/>
              </w:rPr>
            </w:pPr>
          </w:p>
        </w:tc>
      </w:tr>
    </w:tbl>
    <w:p w:rsidR="001600AD" w:rsidRDefault="001600AD" w:rsidP="001600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1600AD" w:rsidTr="001600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06 июня 2025 г. 20:00 МСК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07 июня 2025 г. 23:59 МСК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CFOR За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CAGS Против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ABST Воздержаться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00AD" w:rsidRDefault="001600AD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NDC000000000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NADCRUMM</w:t>
            </w:r>
          </w:p>
        </w:tc>
      </w:tr>
      <w:tr w:rsidR="001600AD" w:rsidTr="001600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00AD" w:rsidRDefault="001600AD">
            <w:r>
              <w:t>https://lk.rrost.ru/</w:t>
            </w:r>
          </w:p>
        </w:tc>
      </w:tr>
    </w:tbl>
    <w:p w:rsidR="001600AD" w:rsidRDefault="001600AD" w:rsidP="001600AD"/>
    <w:p w:rsidR="001600AD" w:rsidRDefault="001600AD" w:rsidP="001600AD">
      <w:pPr>
        <w:pStyle w:val="2"/>
      </w:pPr>
      <w:r>
        <w:t>Повестка</w:t>
      </w:r>
    </w:p>
    <w:p w:rsidR="00DB68FF" w:rsidRPr="001600AD" w:rsidRDefault="001600AD" w:rsidP="001600AD">
      <w:r>
        <w:t xml:space="preserve">1. Об утверждении годового отчета Общества за 2024 год. </w:t>
      </w:r>
      <w:r>
        <w:br/>
        <w:t>2. Об утверждении годовой бухгалтерской (финансовой) отчетности Общества, составленной в соответствии с РСБУ за 2024 год.</w:t>
      </w:r>
      <w:r>
        <w:br/>
        <w:t xml:space="preserve">3. Об утверждении годовой консолидированной финансовой отчетности Общества за 2024 год, составленной в соответствии с МСФО в соответствии с МСФО за 2024 год. </w:t>
      </w:r>
      <w:r>
        <w:br/>
        <w:t xml:space="preserve">4. О распределении прибыли (в том числе выплате (объявлении) дивидендов) и убытков Общества по результатам финансово-хозяйственной деятельности за 2024 год. </w:t>
      </w:r>
      <w:r>
        <w:br/>
        <w:t xml:space="preserve">5. Об утверждении аудитора финансовой отчетности Общества в соответствии со стандартами РСБУ на 2025 год. </w:t>
      </w:r>
      <w:r>
        <w:br/>
        <w:t xml:space="preserve">6. Об утверждении аудитора финансовой отчетности Общества в соответствии со стандартами МСФО на 2025 год. </w:t>
      </w:r>
      <w:r>
        <w:br/>
        <w:t xml:space="preserve">7. Об определении количественного состава Совета директоров Общества. </w:t>
      </w:r>
      <w:r>
        <w:br/>
        <w:t xml:space="preserve">8. Об избрании членов Совета директоров Общества. </w:t>
      </w:r>
      <w:r>
        <w:br/>
        <w:t>9. Об установлении размера вознаграждения членам Совета директоров Общества.</w:t>
      </w:r>
      <w:bookmarkStart w:id="0" w:name="_GoBack"/>
      <w:bookmarkEnd w:id="0"/>
    </w:p>
    <w:sectPr w:rsidR="00DB68FF" w:rsidRPr="0016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285</cp:revision>
  <dcterms:created xsi:type="dcterms:W3CDTF">2025-01-14T05:35:00Z</dcterms:created>
  <dcterms:modified xsi:type="dcterms:W3CDTF">2025-05-07T04:56:00Z</dcterms:modified>
</cp:coreProperties>
</file>