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D2" w:rsidRDefault="00C716D2" w:rsidP="00C716D2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16D2" w:rsidTr="00C7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952649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INTR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Выплата купонного дохода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14 апреля 2025 г.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13 апреля 2025 г.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11 апреля 2025 г.</w:t>
            </w:r>
          </w:p>
        </w:tc>
      </w:tr>
    </w:tbl>
    <w:p w:rsidR="00C716D2" w:rsidRDefault="00C716D2" w:rsidP="00C716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C716D2" w:rsidTr="00C716D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16D2" w:rsidTr="00C716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RUB</w:t>
            </w:r>
          </w:p>
        </w:tc>
      </w:tr>
    </w:tbl>
    <w:p w:rsidR="00C716D2" w:rsidRDefault="00C716D2" w:rsidP="00C716D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C716D2" w:rsidTr="00C7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6D2" w:rsidRDefault="00C71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20.75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RUB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14 марта 2025 г.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13 апреля 2025 г.</w:t>
            </w:r>
          </w:p>
        </w:tc>
      </w:tr>
      <w:tr w:rsidR="00C716D2" w:rsidTr="00C7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6D2" w:rsidRDefault="00C716D2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2025-04-17T03:25:00Z</dcterms:modified>
</cp:coreProperties>
</file>