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A64C" w14:textId="77777777" w:rsidR="009016DD" w:rsidRDefault="001A247A" w:rsidP="0076774E">
      <w:pPr>
        <w:spacing w:after="75" w:line="238" w:lineRule="auto"/>
        <w:ind w:left="567" w:hanging="28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</w:p>
    <w:p w14:paraId="535137D0" w14:textId="4E9D3D99" w:rsidR="009016DD" w:rsidRPr="0076774E" w:rsidRDefault="0076774E" w:rsidP="0076774E">
      <w:pPr>
        <w:spacing w:after="0"/>
        <w:ind w:left="267" w:right="78" w:firstLine="17"/>
        <w:jc w:val="center"/>
        <w:rPr>
          <w:rFonts w:ascii="Tahoma" w:eastAsia="Tahoma" w:hAnsi="Tahoma" w:cs="Tahoma"/>
          <w:color w:val="616365"/>
          <w:sz w:val="36"/>
        </w:rPr>
      </w:pPr>
      <w:r w:rsidRPr="0076774E">
        <w:rPr>
          <w:rFonts w:ascii="Tahoma" w:eastAsia="Tahoma" w:hAnsi="Tahoma" w:cs="Tahoma"/>
          <w:color w:val="616365"/>
          <w:sz w:val="36"/>
        </w:rPr>
        <w:t>Эмитента ПАО «НОВАТЭК» (</w:t>
      </w:r>
      <w:proofErr w:type="spellStart"/>
      <w:proofErr w:type="gramStart"/>
      <w:r w:rsidRPr="0076774E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76774E">
        <w:rPr>
          <w:rFonts w:ascii="Tahoma" w:eastAsia="Tahoma" w:hAnsi="Tahoma" w:cs="Tahoma"/>
          <w:color w:val="616365"/>
          <w:sz w:val="36"/>
        </w:rPr>
        <w:t xml:space="preserve"> </w:t>
      </w:r>
      <w:r w:rsidRPr="0076774E">
        <w:rPr>
          <w:rFonts w:ascii="Tahoma" w:eastAsia="Tahoma" w:hAnsi="Tahoma" w:cs="Tahoma"/>
          <w:color w:val="616365"/>
          <w:sz w:val="36"/>
        </w:rPr>
        <w:t>1-02-00268-E</w:t>
      </w:r>
      <w:r w:rsidRPr="0076774E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9016DD" w14:paraId="6F1FBF98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13CE" w14:textId="77777777" w:rsidR="009016DD" w:rsidRDefault="001A247A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9016DD" w14:paraId="5968421E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60A81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DBA12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</w:tr>
      <w:tr w:rsidR="009016DD" w14:paraId="28160C37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D633A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451E1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"НОВАТЭК"</w:t>
            </w:r>
          </w:p>
        </w:tc>
      </w:tr>
      <w:tr w:rsidR="009016DD" w14:paraId="58024349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F6DF9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ADB0C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9016DD" w14:paraId="70DC03B7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C1EE2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9BC5D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9016DD" w14:paraId="3A02A723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76BB5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BCBB5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9016DD" w14:paraId="5D449753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2AF07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153B2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9016DD" w14:paraId="0D27AB1B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E25D1" w14:textId="77777777" w:rsidR="009016DD" w:rsidRDefault="001A247A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D9486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9016DD" w14:paraId="34879C20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D6CB" w14:textId="77777777" w:rsidR="009016DD" w:rsidRDefault="001A247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BF520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9016DD" w14:paraId="57D237F1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46C0" w14:textId="77777777" w:rsidR="009016DD" w:rsidRDefault="001A247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00665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9016DD" w14:paraId="7AF6648C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8FDEE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26415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9016DD" w14:paraId="785B54EF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C56DA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CDD1D" w14:textId="77777777" w:rsidR="009016DD" w:rsidRDefault="001A247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9016DD" w14:paraId="3C8FCC54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645E4" w14:textId="77777777" w:rsidR="009016DD" w:rsidRDefault="001A247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4196A" w14:textId="77777777" w:rsidR="009016DD" w:rsidRDefault="001A247A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</w:t>
              </w:r>
            </w:hyperlink>
          </w:p>
        </w:tc>
      </w:tr>
      <w:tr w:rsidR="009016DD" w14:paraId="5985D0F4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1DF07" w14:textId="77777777" w:rsidR="009016DD" w:rsidRDefault="001A247A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9016DD" w14:paraId="19B94C77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E106E" w14:textId="77777777" w:rsidR="009016DD" w:rsidRDefault="001A247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дивидендов по результатам первого полугодия 2026 года.</w:t>
            </w:r>
          </w:p>
        </w:tc>
      </w:tr>
    </w:tbl>
    <w:p w14:paraId="33FEE349" w14:textId="4D2AD6FC" w:rsidR="009016DD" w:rsidRDefault="009016DD">
      <w:pPr>
        <w:tabs>
          <w:tab w:val="center" w:pos="6301"/>
        </w:tabs>
        <w:spacing w:after="101" w:line="265" w:lineRule="auto"/>
        <w:ind w:left="-15"/>
      </w:pPr>
    </w:p>
    <w:sectPr w:rsidR="009016D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6DD"/>
    <w:rsid w:val="001A247A"/>
    <w:rsid w:val="0076774E"/>
    <w:rsid w:val="009016DD"/>
    <w:rsid w:val="00BE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A2F1"/>
  <w15:docId w15:val="{9957EF2D-5BC1-4C6D-A0C6-E4B2A3C5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2026-08-28T14:38:00Z</dcterms:created>
  <dcterms:modified xsi:type="dcterms:W3CDTF">2026-08-28T14:38:00Z</dcterms:modified>
</cp:coreProperties>
</file>