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F6" w:rsidRDefault="00DC30F6" w:rsidP="00DC30F6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5676"/>
      </w:tblGrid>
      <w:tr w:rsidR="00DC30F6" w:rsidTr="00DC30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pPr>
              <w:wordWrap w:val="0"/>
            </w:pPr>
            <w:r>
              <w:t>1020964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pPr>
              <w:wordWrap w:val="0"/>
            </w:pPr>
            <w:r>
              <w:t>MEET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15 мая 2025 г. 11:00 МСК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21 апреля 2025 г.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pPr>
              <w:wordWrap w:val="0"/>
            </w:pPr>
            <w:r>
              <w:t>Заседание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 xml:space="preserve">г. Москва, Сретенский бульвар, 11, ПАО «ЛУКОЙЛ», корпус «Вега», </w:t>
            </w:r>
            <w:proofErr w:type="spellStart"/>
            <w:r>
              <w:t>конфер</w:t>
            </w:r>
            <w:proofErr w:type="spellEnd"/>
            <w:r>
              <w:br/>
            </w:r>
            <w:proofErr w:type="spellStart"/>
            <w:r>
              <w:t>енц</w:t>
            </w:r>
            <w:proofErr w:type="spellEnd"/>
            <w:r>
              <w:t xml:space="preserve">-зал (вход со стороны </w:t>
            </w:r>
            <w:proofErr w:type="spellStart"/>
            <w:r>
              <w:t>Костянского</w:t>
            </w:r>
            <w:proofErr w:type="spellEnd"/>
            <w:r>
              <w:t xml:space="preserve"> переулка)</w:t>
            </w:r>
          </w:p>
        </w:tc>
      </w:tr>
    </w:tbl>
    <w:p w:rsidR="00DC30F6" w:rsidRDefault="00DC30F6" w:rsidP="00DC30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DC30F6" w:rsidTr="00DC30F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DC30F6" w:rsidTr="00DC30F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DC30F6" w:rsidRDefault="00DC30F6">
            <w:pPr>
              <w:rPr>
                <w:sz w:val="20"/>
                <w:szCs w:val="20"/>
              </w:rPr>
            </w:pP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DC30F6" w:rsidRDefault="00DC30F6">
            <w:pPr>
              <w:rPr>
                <w:sz w:val="20"/>
                <w:szCs w:val="20"/>
              </w:rPr>
            </w:pPr>
          </w:p>
        </w:tc>
      </w:tr>
    </w:tbl>
    <w:p w:rsidR="00DC30F6" w:rsidRDefault="00DC30F6" w:rsidP="00DC30F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83"/>
        <w:gridCol w:w="1372"/>
      </w:tblGrid>
      <w:tr w:rsidR="00DC30F6" w:rsidTr="00DC30F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DC30F6" w:rsidRDefault="00DC30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12 мая 2025 г. 19:59 МСК</w:t>
            </w:r>
          </w:p>
        </w:tc>
      </w:tr>
      <w:tr w:rsidR="00DC30F6" w:rsidTr="00DC30F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DC30F6" w:rsidRDefault="00DC30F6">
            <w:r>
              <w:t>12 мая 2025 г. 23:59 МСК</w:t>
            </w:r>
          </w:p>
        </w:tc>
      </w:tr>
    </w:tbl>
    <w:p w:rsidR="00DC30F6" w:rsidRDefault="00DC30F6" w:rsidP="00DC30F6"/>
    <w:p w:rsidR="00DC30F6" w:rsidRDefault="00DC30F6" w:rsidP="00DC30F6">
      <w:pPr>
        <w:pStyle w:val="2"/>
      </w:pPr>
      <w:r>
        <w:t>Повестка</w:t>
      </w:r>
    </w:p>
    <w:p w:rsidR="00DB68FF" w:rsidRPr="00DC30F6" w:rsidRDefault="00DC30F6" w:rsidP="00DC30F6">
      <w:pPr>
        <w:pStyle w:val="1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</w:pP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t>1. Утверждение Годового отчета ПАО «ЛУКОЙЛ» за 2024 год, годовой бухгалтерской (финансовой) отчетности ПАО «ЛУКОЙЛ».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2. Распределение прибыли ПАО «ЛУКОЙЛ» (в том числе выплата (объявление) дивидендов) по результатам 2024 года.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3. Избрание членов Совета директоров ПАО «ЛУКОЙЛ».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4. О вознаграждении и компенсации расходов членам Совета директоров ПАО «ЛУКОЙЛ».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5. Назначение аудиторской организации ПАО «ЛУКОЙЛ».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6. Утверждение Устава Публичного акционерного общества «Нефтяная компания «ЛУКОЙЛ» в новой редакции.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7. Утверждение Положения об Общем собрании акционеров ПАО «ЛУКОЙЛ».</w:t>
      </w:r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8. Утверждение Положения о Сове</w:t>
      </w:r>
      <w:bookmarkStart w:id="0" w:name="_GoBack"/>
      <w:bookmarkEnd w:id="0"/>
      <w:r w:rsidRPr="00DC30F6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t>те директоров ПАО «ЛУКОЙЛ».</w:t>
      </w:r>
    </w:p>
    <w:sectPr w:rsidR="00DB68FF" w:rsidRPr="00DC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4039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C30F6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234</cp:revision>
  <dcterms:created xsi:type="dcterms:W3CDTF">2025-01-14T05:35:00Z</dcterms:created>
  <dcterms:modified xsi:type="dcterms:W3CDTF">2025-03-28T06:01:00Z</dcterms:modified>
</cp:coreProperties>
</file>