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E3" w:rsidRDefault="00786CE3" w:rsidP="00786CE3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786CE3" w:rsidTr="00786C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Pr>
              <w:wordWrap w:val="0"/>
            </w:pPr>
            <w:r>
              <w:t>1118089</w:t>
            </w: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Pr>
              <w:wordWrap w:val="0"/>
            </w:pPr>
            <w:r>
              <w:t>XMET</w:t>
            </w: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 xml:space="preserve">19 февраля 2026 г. </w:t>
            </w: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23 января 2026 г.</w:t>
            </w: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Pr>
              <w:wordWrap w:val="0"/>
            </w:pPr>
            <w:r>
              <w:t>Заочное голосование</w:t>
            </w:r>
          </w:p>
        </w:tc>
      </w:tr>
    </w:tbl>
    <w:p w:rsidR="00786CE3" w:rsidRDefault="00786CE3" w:rsidP="00786C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786CE3" w:rsidTr="00786CE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86CE3" w:rsidTr="00786C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86CE3" w:rsidRDefault="00786CE3">
            <w:pPr>
              <w:rPr>
                <w:sz w:val="20"/>
                <w:szCs w:val="20"/>
              </w:rPr>
            </w:pP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/>
        </w:tc>
        <w:tc>
          <w:tcPr>
            <w:tcW w:w="0" w:type="auto"/>
            <w:vAlign w:val="center"/>
            <w:hideMark/>
          </w:tcPr>
          <w:p w:rsidR="00786CE3" w:rsidRDefault="00786CE3">
            <w:pPr>
              <w:rPr>
                <w:sz w:val="20"/>
                <w:szCs w:val="20"/>
              </w:rPr>
            </w:pP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/>
        </w:tc>
        <w:tc>
          <w:tcPr>
            <w:tcW w:w="0" w:type="auto"/>
            <w:vAlign w:val="center"/>
            <w:hideMark/>
          </w:tcPr>
          <w:p w:rsidR="00786CE3" w:rsidRDefault="00786CE3">
            <w:pPr>
              <w:rPr>
                <w:sz w:val="20"/>
                <w:szCs w:val="20"/>
              </w:rPr>
            </w:pP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/>
        </w:tc>
        <w:tc>
          <w:tcPr>
            <w:tcW w:w="0" w:type="auto"/>
            <w:vAlign w:val="center"/>
            <w:hideMark/>
          </w:tcPr>
          <w:p w:rsidR="00786CE3" w:rsidRDefault="00786CE3">
            <w:pPr>
              <w:rPr>
                <w:sz w:val="20"/>
                <w:szCs w:val="20"/>
              </w:rPr>
            </w:pP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786CE3" w:rsidRDefault="00786CE3">
            <w:pPr>
              <w:rPr>
                <w:sz w:val="20"/>
                <w:szCs w:val="20"/>
              </w:rPr>
            </w:pPr>
          </w:p>
        </w:tc>
      </w:tr>
    </w:tbl>
    <w:p w:rsidR="00786CE3" w:rsidRDefault="00786CE3" w:rsidP="00786C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6523"/>
        <w:gridCol w:w="933"/>
      </w:tblGrid>
      <w:tr w:rsidR="00786CE3" w:rsidTr="00786CE3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86CE3" w:rsidRDefault="00786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786CE3" w:rsidTr="00786C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r>
              <w:t xml:space="preserve">Номер проекта </w:t>
            </w:r>
            <w:proofErr w:type="spellStart"/>
            <w:proofErr w:type="gramStart"/>
            <w:r>
              <w:t>решения:См</w:t>
            </w:r>
            <w:proofErr w:type="spellEnd"/>
            <w:r>
              <w:t>.</w:t>
            </w:r>
            <w:proofErr w:type="gramEnd"/>
            <w:r>
              <w:t xml:space="preserve"> доп. информацию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786CE3" w:rsidRDefault="00786CE3"/>
        </w:tc>
        <w:tc>
          <w:tcPr>
            <w:tcW w:w="0" w:type="auto"/>
            <w:shd w:val="clear" w:color="auto" w:fill="EEEEEE"/>
            <w:vAlign w:val="center"/>
            <w:hideMark/>
          </w:tcPr>
          <w:p w:rsidR="00786CE3" w:rsidRDefault="00786CE3">
            <w:pPr>
              <w:rPr>
                <w:sz w:val="24"/>
                <w:szCs w:val="24"/>
              </w:rPr>
            </w:pPr>
            <w:r>
              <w:t>Принято: Да</w:t>
            </w:r>
          </w:p>
        </w:tc>
      </w:tr>
    </w:tbl>
    <w:p w:rsidR="00786CE3" w:rsidRDefault="00786CE3" w:rsidP="00786CE3"/>
    <w:p w:rsidR="00786CE3" w:rsidRDefault="00786CE3" w:rsidP="00786CE3">
      <w:pPr>
        <w:pStyle w:val="2"/>
      </w:pPr>
      <w:r>
        <w:t>Итоги</w:t>
      </w:r>
    </w:p>
    <w:p w:rsidR="003134B8" w:rsidRPr="00786CE3" w:rsidRDefault="00786CE3" w:rsidP="00786CE3">
      <w:r>
        <w:t>1.1. Осуществить реорганизацию Банка ВТБ (публичное акционерное общество) в форме присоединения к нему Акционерного общества «Почта Банк».</w:t>
      </w:r>
      <w:r>
        <w:br/>
        <w:t>1.2. Утвердить договор о присоединении Акционерного общества «Почта Банк» к Банку ВТБ (публичное акционерное общество) согласно Приложению 1.</w:t>
      </w:r>
      <w:r>
        <w:br/>
        <w:t xml:space="preserve">1.3. Утвердить следующий порядок уведомления кредиторов Банка ВТБ (публичное акционерное общество): </w:t>
      </w:r>
      <w:r>
        <w:br/>
        <w:t xml:space="preserve">- не позднее 30 дней с даты принятия решения о реорганизации Банка ВТБ (публичное акционерное общество) разместить информацию об этом на официальном сайте Банка ВТБ (публичное акционерное общество) в информационно-телекоммуникационной сети «Интернет»; </w:t>
      </w:r>
      <w:r>
        <w:br/>
        <w:t xml:space="preserve">- не позднее 30 дней с даты принятия решения о реорганизации Банка ВТБ (публичное акционерное общество) опубликовать сообщение о принятом решении в печатном издании, предназначенном для опубликования сведений о государственной регистрации юридических лиц </w:t>
      </w:r>
      <w:r>
        <w:lastRenderedPageBreak/>
        <w:t xml:space="preserve">(«Вестнике государственной регистрации»), а также в одном из печатных изданий, предназначенных для опубликования нормативных правовых актов органов государственной власти субъекта Российской Федерации, на территории которого расположен филиал (филиалы) Банка ВТБ (публичное акционерное общество); </w:t>
      </w:r>
      <w:r>
        <w:br/>
        <w:t>- определить, что с даты принятия решения о реорганизации Банка ВТБ (публичное акционерное общество) и до даты ее завершения, информация о существенных фактах (событиях, действиях), затрагивающих финансово-хозяйственную деятельность Банка ВТБ (публичное акционерное общество), публикуется в печатном издании - ежедневное издание Агентства экономической информации «ПРАЙМ» «Финансовые новости».</w:t>
      </w:r>
      <w:r>
        <w:br/>
        <w:t>1.4. Определить, что после принятия настоящего решения, принятия единственным акционером Акционерного общества «Почта Банк» решения о реорганизации Акционерного общества «Почта Банк» в форме его присоединения к Банку ВТБ (публичное акционерное общество), Банк ВТБ (публичное акционерное общество) направит в Банк России письменное уведомление о начале процедуры реорганизации в течение трех рабочих дней после даты принятия последнего из вышеуказанных решений о реорганизации.</w:t>
      </w:r>
      <w:r>
        <w:br/>
        <w:t>2. Утвердить Изменения № 3, вносимые в Устав Банка ВТБ (публичное акционерное общество), согласно Приложению № 2 и предоставить право подписать Изменения № 3, вносимые в Устав Банка ВТБ (публичное акционерное общество), а также ходатайство о государственной регистрации Изменений № 3,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</w:r>
      <w:bookmarkStart w:id="0" w:name="_GoBack"/>
      <w:bookmarkEnd w:id="0"/>
    </w:p>
    <w:sectPr w:rsidR="003134B8" w:rsidRPr="0078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2026-02-24T05:32:00Z</dcterms:created>
  <dcterms:modified xsi:type="dcterms:W3CDTF">2026-02-24T05:32:00Z</dcterms:modified>
</cp:coreProperties>
</file>